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1E77F2D7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EB1E4D">
        <w:rPr>
          <w:rFonts w:ascii="Calibri" w:hAnsi="Calibri" w:cs="Calibri"/>
        </w:rPr>
        <w:t>September</w:t>
      </w:r>
      <w:r w:rsidRPr="001B4F08">
        <w:rPr>
          <w:rFonts w:ascii="Calibri" w:hAnsi="Calibri" w:cs="Calibri"/>
        </w:rPr>
        <w:t xml:space="preserve"> </w:t>
      </w:r>
      <w:r w:rsidR="00EA2966">
        <w:rPr>
          <w:rFonts w:ascii="Calibri" w:hAnsi="Calibri" w:cs="Calibri"/>
        </w:rPr>
        <w:t>29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63F2D34C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EA2966" w:rsidRPr="000C3A33">
          <w:rPr>
            <w:rStyle w:val="Hyperlink"/>
            <w:rFonts w:ascii="Calibri" w:hAnsi="Calibri" w:cs="Calibri"/>
          </w:rPr>
          <w:t>https://www.uwlax.edu/news/posts/studying-connection-at-lifes-end/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45FA5320" w14:textId="77777777" w:rsidR="00EA2966" w:rsidRPr="00EA2966" w:rsidRDefault="00EA2966" w:rsidP="00EA2966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EA2966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Studying connection at life’s end</w:t>
      </w:r>
    </w:p>
    <w:p w14:paraId="440BFB4B" w14:textId="77777777" w:rsidR="00EA2966" w:rsidRPr="00EA2966" w:rsidRDefault="00FB6E61" w:rsidP="00EA2966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EA2966" w:rsidRPr="00EA2966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Dean’s distinguished research fellowship captures social realities of dying individuals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5032C60E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AD718C" w:rsidRPr="00D75B8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From left, Angela Geraci, UWL assistant professor of Public Health &amp; Community Health Education, walks with UWL Senior Maddie Jo Baumann.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(UW-La Crosse)</w:t>
      </w: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E3131"/>
    <w:rsid w:val="004E3531"/>
    <w:rsid w:val="004F1EF1"/>
    <w:rsid w:val="005145B1"/>
    <w:rsid w:val="0052000F"/>
    <w:rsid w:val="00524796"/>
    <w:rsid w:val="00532225"/>
    <w:rsid w:val="00565400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D75ED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297A"/>
    <w:rsid w:val="00CF4100"/>
    <w:rsid w:val="00D02CDB"/>
    <w:rsid w:val="00D04F7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studying-connection-at-lifes-end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203</cp:revision>
  <dcterms:created xsi:type="dcterms:W3CDTF">2022-04-21T18:43:00Z</dcterms:created>
  <dcterms:modified xsi:type="dcterms:W3CDTF">2025-09-18T19:02:00Z</dcterms:modified>
</cp:coreProperties>
</file>