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77777777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0034579"/>
      <w:bookmarkStart w:id="1" w:name="_Hlk164260071"/>
      <w:bookmarkStart w:id="2" w:name="_Hlk174534247"/>
      <w:bookmarkStart w:id="3" w:name="_Hlk184993326"/>
      <w:bookmarkStart w:id="4" w:name="_Hlk183082339"/>
      <w:r w:rsidRPr="001B4F08">
        <w:rPr>
          <w:rFonts w:ascii="Calibri" w:hAnsi="Calibri" w:cs="Calibri"/>
        </w:rPr>
        <w:t>Distributed by UW News Service, May 12,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113FF37D" w14:textId="77777777" w:rsidR="001B4F08" w:rsidRPr="001B4F08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Pr="001B4F08">
          <w:rPr>
            <w:rFonts w:ascii="Calibri" w:hAnsi="Calibri" w:cs="Calibri"/>
            <w:color w:val="0563C1" w:themeColor="hyperlink"/>
            <w:u w:val="single"/>
          </w:rPr>
          <w:t>https://www.uwlax.edu/news/posts/hope-beyond-no-cure-conditions/</w:t>
        </w:r>
      </w:hyperlink>
    </w:p>
    <w:p w14:paraId="5D6CC522" w14:textId="77777777" w:rsidR="001B4F08" w:rsidRPr="001B4F08" w:rsidRDefault="001B4F08" w:rsidP="001B4F08">
      <w:pPr>
        <w:rPr>
          <w:rFonts w:ascii="Calibri" w:hAnsi="Calibri" w:cs="Calibri"/>
        </w:rPr>
      </w:pPr>
    </w:p>
    <w:bookmarkEnd w:id="1"/>
    <w:bookmarkEnd w:id="2"/>
    <w:bookmarkEnd w:id="3"/>
    <w:p w14:paraId="30D38CD2" w14:textId="77777777" w:rsidR="001B4F08" w:rsidRPr="001B4F08" w:rsidRDefault="001B4F08" w:rsidP="001B4F08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1B4F08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Degrees within reach</w:t>
      </w:r>
      <w:r w:rsidRPr="001B4F08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br/>
      </w:r>
      <w:r w:rsidRPr="001B4F08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br/>
      </w:r>
      <w:bookmarkEnd w:id="4"/>
      <w:r w:rsidRPr="001B4F08">
        <w:rPr>
          <w:rFonts w:ascii="Montserrat" w:eastAsia="Times New Roman" w:hAnsi="Montserrat" w:cs="Times New Roman"/>
          <w:b/>
          <w:bCs/>
          <w:color w:val="282A2E"/>
          <w:sz w:val="24"/>
          <w:szCs w:val="24"/>
        </w:rPr>
        <w:t>UWL’s Win-Win Program helps 126 former students cross the college finish line</w:t>
      </w:r>
    </w:p>
    <w:p w14:paraId="33F22297" w14:textId="4A0C2FD0" w:rsidR="002444F5" w:rsidRPr="00A7640C" w:rsidRDefault="002444F5" w:rsidP="00037D5D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0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6F857F4D" w14:textId="6ABB0CBA" w:rsidR="005D3FA8" w:rsidRPr="00EC78E7" w:rsidRDefault="00A00F1B" w:rsidP="008A17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bookmarkStart w:id="5" w:name="_Hlk183163287"/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0A1D44" w:rsidRPr="000A1D4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</w:t>
      </w:r>
      <w:r w:rsidR="000A1D4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-</w:t>
      </w:r>
      <w:r w:rsidR="000A1D44" w:rsidRPr="000A1D4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L</w:t>
      </w:r>
      <w:r w:rsidR="000A1D4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a Crosse</w:t>
      </w:r>
      <w:r w:rsidR="000A1D44" w:rsidRPr="000A1D4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Senior Ryan Sneath is nine credits away from earning his general studies bachelor’s degree after earning an associate of arts degree through the Win-Win program.  “It has been a wonderful experience returning to class with a deeper understanding of myself and my goals," he says. </w:t>
      </w:r>
      <w:r w:rsidR="008A170C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B5359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2B29A0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 University Marketing &amp; Communication</w:t>
      </w:r>
      <w:r w:rsidR="00A73B6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</w:t>
      </w:r>
      <w:r w:rsidR="0021759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bookmarkEnd w:id="5"/>
    <w:p w14:paraId="1653BF84" w14:textId="0C873663" w:rsidR="00076809" w:rsidRDefault="00076809" w:rsidP="000A1D44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 w:rsidR="001B4F08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0A1D44" w:rsidRPr="000A1D4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Susan Schauer with her husband, Nick, and their sons Jack, Ryan and Sam. After returning to Wisconsin, Schauer hoped to work as a substitute teacher but wasn’t sure how to make it happen. The Win-Win program helped her bridge that gap — quickly and affordably.</w:t>
      </w:r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037D5D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0A1D4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Photo courtesy of Susan Schauer</w:t>
      </w:r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0162E44D" w14:textId="5621234D" w:rsidR="00A73B61" w:rsidRPr="00EC78E7" w:rsidRDefault="00A73B61" w:rsidP="00076809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0A1D44" w:rsidRPr="000A1D4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“This is a great example of a multi-unit UWL collaborative project that has a potentially life-changing impact on individuals,” says Sandy Grunwald, Associate Vice Chancellor for Academic Affairs.</w:t>
      </w:r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037D5D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(UWL University Marketing &amp; Communication</w:t>
      </w:r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s)</w:t>
      </w:r>
    </w:p>
    <w:p w14:paraId="44758F8B" w14:textId="77777777" w:rsidR="000A1D44" w:rsidRPr="00EC78E7" w:rsidRDefault="000A1D44" w:rsidP="000A1D44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Pr="000A1D44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Most students contacted by the Win-Win program express excitement, relief, and hope for the future, says UWL Academic Advisor Mic Nauman.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(UWL University Marketing &amp; Communication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s)</w:t>
      </w:r>
    </w:p>
    <w:p w14:paraId="77C04E85" w14:textId="6D109259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7D5D"/>
    <w:rsid w:val="00054665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9277B"/>
    <w:rsid w:val="001A43C8"/>
    <w:rsid w:val="001B4F08"/>
    <w:rsid w:val="001D440B"/>
    <w:rsid w:val="001E23FD"/>
    <w:rsid w:val="001F38EA"/>
    <w:rsid w:val="00217590"/>
    <w:rsid w:val="0023223A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304A84"/>
    <w:rsid w:val="00306C4E"/>
    <w:rsid w:val="00321902"/>
    <w:rsid w:val="00324049"/>
    <w:rsid w:val="003300D2"/>
    <w:rsid w:val="003357C1"/>
    <w:rsid w:val="00336818"/>
    <w:rsid w:val="003635CC"/>
    <w:rsid w:val="00374CA1"/>
    <w:rsid w:val="00376A84"/>
    <w:rsid w:val="00380FAC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97AB4"/>
    <w:rsid w:val="004A438A"/>
    <w:rsid w:val="004E3131"/>
    <w:rsid w:val="004E3531"/>
    <w:rsid w:val="004F1EF1"/>
    <w:rsid w:val="005145B1"/>
    <w:rsid w:val="0052000F"/>
    <w:rsid w:val="00524796"/>
    <w:rsid w:val="00532225"/>
    <w:rsid w:val="0059186D"/>
    <w:rsid w:val="005A48C5"/>
    <w:rsid w:val="005B5B1B"/>
    <w:rsid w:val="005C34C4"/>
    <w:rsid w:val="005D3FA8"/>
    <w:rsid w:val="005D5C61"/>
    <w:rsid w:val="005D7F50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F17F8"/>
    <w:rsid w:val="008002CA"/>
    <w:rsid w:val="0081034D"/>
    <w:rsid w:val="008119C0"/>
    <w:rsid w:val="00836FDC"/>
    <w:rsid w:val="00875B61"/>
    <w:rsid w:val="008A170C"/>
    <w:rsid w:val="008C57FE"/>
    <w:rsid w:val="008D2F71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5772E"/>
    <w:rsid w:val="00A724C7"/>
    <w:rsid w:val="00A73B61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F1865"/>
    <w:rsid w:val="00BF1982"/>
    <w:rsid w:val="00C10A29"/>
    <w:rsid w:val="00C24244"/>
    <w:rsid w:val="00C717B8"/>
    <w:rsid w:val="00C80C80"/>
    <w:rsid w:val="00C81E86"/>
    <w:rsid w:val="00C81FA6"/>
    <w:rsid w:val="00C879B1"/>
    <w:rsid w:val="00C91442"/>
    <w:rsid w:val="00C94617"/>
    <w:rsid w:val="00C95873"/>
    <w:rsid w:val="00CC51D9"/>
    <w:rsid w:val="00CC6102"/>
    <w:rsid w:val="00CF259C"/>
    <w:rsid w:val="00CF4100"/>
    <w:rsid w:val="00D02CDB"/>
    <w:rsid w:val="00D35758"/>
    <w:rsid w:val="00D470C0"/>
    <w:rsid w:val="00D80497"/>
    <w:rsid w:val="00D82617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7A21"/>
    <w:rsid w:val="00E34482"/>
    <w:rsid w:val="00E372AE"/>
    <w:rsid w:val="00E53319"/>
    <w:rsid w:val="00E60496"/>
    <w:rsid w:val="00E721ED"/>
    <w:rsid w:val="00E82F10"/>
    <w:rsid w:val="00EA0B35"/>
    <w:rsid w:val="00EA6401"/>
    <w:rsid w:val="00EA7CFC"/>
    <w:rsid w:val="00EC6EAF"/>
    <w:rsid w:val="00EC78E7"/>
    <w:rsid w:val="00ED5AE2"/>
    <w:rsid w:val="00F21456"/>
    <w:rsid w:val="00F50B62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hope-beyond-no-cure-condition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179</cp:revision>
  <dcterms:created xsi:type="dcterms:W3CDTF">2022-04-21T18:43:00Z</dcterms:created>
  <dcterms:modified xsi:type="dcterms:W3CDTF">2025-05-06T14:42:00Z</dcterms:modified>
</cp:coreProperties>
</file>